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02" w:rsidRDefault="00B42802" w:rsidP="00B42802">
      <w:pPr>
        <w:pStyle w:val="dtn"/>
        <w:shd w:val="clear" w:color="auto" w:fill="FFFFFF"/>
        <w:spacing w:before="0" w:beforeAutospacing="0" w:after="0" w:afterAutospacing="0" w:line="336" w:lineRule="atLeast"/>
        <w:ind w:left="45"/>
        <w:jc w:val="center"/>
        <w:outlineLvl w:val="1"/>
        <w:rPr>
          <w:rFonts w:ascii="Tahoma" w:hAnsi="Tahoma" w:cs="Tahoma"/>
          <w:color w:val="5A5A5A"/>
          <w:kern w:val="36"/>
          <w:sz w:val="21"/>
          <w:szCs w:val="21"/>
        </w:rPr>
      </w:pPr>
      <w:r>
        <w:rPr>
          <w:rFonts w:ascii="Tahoma" w:hAnsi="Tahoma" w:cs="Tahoma"/>
          <w:color w:val="5A5A5A"/>
          <w:kern w:val="36"/>
          <w:sz w:val="21"/>
          <w:szCs w:val="21"/>
        </w:rPr>
        <w:t>ROZPORZĄDZENIE RADY MINISTRÓW</w:t>
      </w:r>
    </w:p>
    <w:p w:rsidR="00B42802" w:rsidRDefault="00B42802" w:rsidP="00B42802">
      <w:pPr>
        <w:pStyle w:val="dtz"/>
        <w:shd w:val="clear" w:color="auto" w:fill="FFFFFF"/>
        <w:spacing w:before="0" w:beforeAutospacing="0" w:after="0" w:afterAutospacing="0" w:line="336" w:lineRule="atLeast"/>
        <w:ind w:left="45"/>
        <w:jc w:val="center"/>
        <w:outlineLvl w:val="1"/>
        <w:rPr>
          <w:rFonts w:ascii="Tahoma" w:hAnsi="Tahoma" w:cs="Tahoma"/>
          <w:color w:val="5A5A5A"/>
          <w:kern w:val="36"/>
          <w:sz w:val="21"/>
          <w:szCs w:val="21"/>
        </w:rPr>
      </w:pPr>
      <w:r>
        <w:rPr>
          <w:rFonts w:ascii="Tahoma" w:hAnsi="Tahoma" w:cs="Tahoma"/>
          <w:color w:val="5A5A5A"/>
          <w:kern w:val="36"/>
          <w:sz w:val="21"/>
          <w:szCs w:val="21"/>
        </w:rPr>
        <w:t>z dnia 12 listopada 2002 r.</w:t>
      </w:r>
    </w:p>
    <w:p w:rsidR="00B42802" w:rsidRDefault="00B42802" w:rsidP="00B42802">
      <w:pPr>
        <w:pStyle w:val="dtu"/>
        <w:shd w:val="clear" w:color="auto" w:fill="FFFFFF"/>
        <w:spacing w:before="0" w:beforeAutospacing="0" w:after="0" w:afterAutospacing="0" w:line="336" w:lineRule="atLeast"/>
        <w:ind w:left="45"/>
        <w:jc w:val="center"/>
        <w:outlineLvl w:val="1"/>
        <w:rPr>
          <w:rFonts w:ascii="Tahoma" w:hAnsi="Tahoma" w:cs="Tahoma"/>
          <w:color w:val="5A5A5A"/>
          <w:kern w:val="36"/>
          <w:sz w:val="21"/>
          <w:szCs w:val="21"/>
        </w:rPr>
      </w:pPr>
      <w:r>
        <w:rPr>
          <w:rFonts w:ascii="Tahoma" w:hAnsi="Tahoma" w:cs="Tahoma"/>
          <w:color w:val="5A5A5A"/>
          <w:kern w:val="36"/>
          <w:sz w:val="21"/>
          <w:szCs w:val="21"/>
        </w:rPr>
        <w:t>w sprawie uprawiania dalekowschodnich sportów i sztuk walki oraz kick-boxingu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Na podstawie art. 53 ust. 2 ustawy z dnia 18 stycznia 1996 r. o kulturze fizycznej (Dz. U. z 2001 r. Nr 81, poz. 889 i Nr 102, poz. 1115 oraz z 2002 r. Nr 4, poz. 31, Nr 25, poz. 253, Nr 74, poz. 676, Nr 93, poz. 820, Nr 130, poz. 1112 i Nr 207, poz. 1752) zarządza się, co następuje: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0" w:name="frg_3992295"/>
      <w:bookmarkEnd w:id="0"/>
      <w:r>
        <w:rPr>
          <w:rFonts w:ascii="Tahoma" w:hAnsi="Tahoma" w:cs="Tahoma"/>
          <w:color w:val="5A5A5A"/>
          <w:sz w:val="18"/>
          <w:szCs w:val="18"/>
        </w:rPr>
        <w:t>§ 1. Rozporządzenie określa szczegółowe wymogi, kwalifikacje i sposób ich uzyskiwania, wynikające z nich uprawnienia, zasady nadawania, zawieszania i cofania tych uprawnień, wzory dokumentów stwierdzających te kwalifikacje i uprawnienia oraz szczególne zasady bezpieczeństwa obowiązujące przy uprawianiu dalekowschodnich sportów i sztuk walki oraz kick-boxingu.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" w:name="frg_3992296"/>
      <w:bookmarkEnd w:id="1"/>
      <w:r>
        <w:rPr>
          <w:rFonts w:ascii="Tahoma" w:hAnsi="Tahoma" w:cs="Tahoma"/>
          <w:color w:val="5A5A5A"/>
          <w:sz w:val="18"/>
          <w:szCs w:val="18"/>
        </w:rPr>
        <w:t>§ 2. Do udziału w zajęciach w dalekowschodnich sportach i sztukach walki oraz kick-boxingu, zwanych dalej "sportami i sztukami walki", jest niezbędne posiadanie: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1) zaświadczenia, wydanego przez lekarza posiadającego specjalizację w dziedzinie medycyny sportowej, o braku przeciwwskazań do uprawiania określonych sportów lub sztuk walki;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2) zgody przedstawiciela ustawowego, w przypadku osób niepełnoletnich;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3) umowy ubezpieczenia od następstw nieszczęśliwych wypadków.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2" w:name="frg_3992297"/>
      <w:bookmarkEnd w:id="2"/>
      <w:r>
        <w:rPr>
          <w:rFonts w:ascii="Tahoma" w:hAnsi="Tahoma" w:cs="Tahoma"/>
          <w:color w:val="5A5A5A"/>
          <w:sz w:val="18"/>
          <w:szCs w:val="18"/>
        </w:rPr>
        <w:t>§ 3. 1. Osoby do lat 12 mogą brać udział wyłącznie w zajęciach, treningach i zawodach w sportach i sztukach walki w formach bezkontaktowych, których uprawianie lub rywalizacja odbywa się w postaci demonstracji techniki albo walki reżyserowanej.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Osoby, które ukończyły 12 lat i uczestniczyły w treningach w formach bezkontaktowych, przez co najmniej 9 miesięcy, mogą być dopuszczone do udziału w zajęciach, treningach i zawodach, w sportach i sztukach walki w formach z ograniczonym kontaktem, których zasady uprawiania lub rywalizacji nie przewidują możliwości pokonania przeciwnika przez zadawanie uderzeń rękami lub nogami z pełną siłą, a w walkach z bronią obszar zadawanych uderzeń jest ograniczony.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3. Z zastrzeżeniem ust. 4, osoby, które ukończyły 16 lat, mogą być dopuszczone do zajęć, treningów i zawodów w sportach i sztukach walki w formach z pełnym kontaktem, których zasady uprawiania lub rywalizacji zezwalają na pokonanie przeciwnika, przez zadawanie uderzeń rękami lub nogami z pełną siłą, a w walkach z bronią obszar zadawanych uderzeń jest nieograniczony.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4. Granica wieku, o której mowa w ust. 3, może być obniżona do 14 lat w przypadku stosowania podczas zajęć, treningów i zawodów w sportach i sztukach walki sprzętu ochronnego.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3" w:name="frg_3992298"/>
      <w:bookmarkEnd w:id="3"/>
      <w:r>
        <w:rPr>
          <w:rFonts w:ascii="Tahoma" w:hAnsi="Tahoma" w:cs="Tahoma"/>
          <w:color w:val="5A5A5A"/>
          <w:sz w:val="18"/>
          <w:szCs w:val="18"/>
        </w:rPr>
        <w:t>§ 4. 1. Posiadanie kwalifikacji określających poziom wyszkolenia w sportach lub sztukach walki stwierdza się nadaniem odpowiedniego stopnia uczniowskiego lub mistrzowskiego.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Stopnie, o których mowa w ust. 1, nadaje lub cofa, a także zawiesza lub cofa wynikające z nich uprawnienia, w przypadkach wskazanych w rozporządzeniu, właściwy dla danego sportu i sztuki walki polski związek sportowy, a w dyscyplinach, w których nie działa polski związek sportowy, właściwy związek sportowy, zwane dalej "związkami sportowymi".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3. Dokumentem stwierdzającym posiadanie uzyskanych stopni uczniowskich lub mistrzowskich jest odpowiednio dyplom uczniowski lub mistrzowski, których wzory zawierają załączniki nr 1 i 2 do rozporządzenia.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4. Związki sportowe prowadzą rejestry wydanych dyplomów.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4" w:name="frg_3992299"/>
      <w:bookmarkEnd w:id="4"/>
      <w:r>
        <w:rPr>
          <w:rFonts w:ascii="Tahoma" w:hAnsi="Tahoma" w:cs="Tahoma"/>
          <w:color w:val="5A5A5A"/>
          <w:sz w:val="18"/>
          <w:szCs w:val="18"/>
        </w:rPr>
        <w:t>§ 5. 1. Stopnie uczniowskie oraz stopnie mistrzowskie, do czwartego stopnia włącznie, nadaje się osobie, która: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1) złożyła wniosek o nadanie stopnia;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2) spełniła warunki określone w § 2;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3) zaliczyła z wynikiem pozytywnym egzamin sprawdzający.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Egzamin sprawdzający na stopnie uczniowskie przeprowadza egzaminator lub komisja, a na stopnie mistrzowskie wyłącznie komisja. Członków komisji, w liczbie co najmniej trzech, oraz egzaminatorów wyznacza właściwy związek sportowy. Co najmniej dwaj członkowie oraz egzaminatorzy powinni posiadać kwalifikacje zawodowe trenera lub instruktora danej dyscypliny sportu lub sztuki walki.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3. Egzamin sprawdzający przeprowadza się zgodnie z wymaganiami egzaminacyjnymi dla poszczególnych sportów lub sztuk walki.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4. Z przebiegu egzaminu sporządza się protokół, w którym stwierdza się wynik egzaminu. Protokół podpisują członkowie komisji albo egzaminatorzy.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lastRenderedPageBreak/>
        <w:t>5. W przypadku stwierdzenia, że egzamin sprawdzający został przeprowadzony z naruszeniem wymagań egzaminacyjnych, o których mowa w ust. 3, przeprowadza się powtórny egzamin przed komisją wyznaczoną przez właściwy związek sportowy.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6. W przypadku negatywnej oceny z egzaminu, o którym mowa w ust. 5, cofa się przyznany stopień uczniowski lub mistrzowski.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5" w:name="frg_3992300"/>
      <w:bookmarkEnd w:id="5"/>
      <w:r>
        <w:rPr>
          <w:rFonts w:ascii="Tahoma" w:hAnsi="Tahoma" w:cs="Tahoma"/>
          <w:color w:val="5A5A5A"/>
          <w:sz w:val="18"/>
          <w:szCs w:val="18"/>
        </w:rPr>
        <w:t>§ 6. 1. Stopień mistrzowski, wyższy niż czwarty, związek sportowy nadaje za wybitne osiągnięcia szkoleniowe lub sportowe.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Nadanie stopnia, o którym mowa w ust. 1, następuje po uzyskaniu pozytywnej opinii właściwej międzynarodowej federacji sportowej.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6" w:name="frg_3992301"/>
      <w:bookmarkEnd w:id="6"/>
      <w:r>
        <w:rPr>
          <w:rFonts w:ascii="Tahoma" w:hAnsi="Tahoma" w:cs="Tahoma"/>
          <w:color w:val="5A5A5A"/>
          <w:sz w:val="18"/>
          <w:szCs w:val="18"/>
        </w:rPr>
        <w:t>§ 7. Związek sportowy może uznać za równorzędne kwalifikacje uzyskane za granicą, określające poziom wyszkolenia w sportach lub sztukach walki na podstawie przedłożonych dokumentów. Przepis § 4 stosuje się odpowiednio.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7" w:name="frg_3992302"/>
      <w:bookmarkEnd w:id="7"/>
      <w:r>
        <w:rPr>
          <w:rFonts w:ascii="Tahoma" w:hAnsi="Tahoma" w:cs="Tahoma"/>
          <w:color w:val="5A5A5A"/>
          <w:sz w:val="18"/>
          <w:szCs w:val="18"/>
        </w:rPr>
        <w:t>§ 8. 1. Osoby, którym nadano stopień uczniowski lub mistrzowski, są uprawnione do uczestnictwa w zajęciach, treningach lub zawodach w sportach i sztukach walki, w których regulaminy sportowe wymagają od zawodników posiadania kwalifikacji określonego stopnia.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Uprawnienia, o których mowa w ust. 1, są zawieszane lub cofane na podstawie orzeczenia właściwej komisji związku sportowego, stwierdzającego: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1) naruszenie zasad bezpieczeństwa uprawiania sportów i sztuk walki;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2) przekroczenie uprawnień wynikających z posiadanego stopnia;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3) wykorzystanie kwalifikacji sportowych do popełnienia wykroczenia lub przestępstwa.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3. Uprawnienia, o których mowa w ust. 1, są zawieszane lub cofane na podstawie prawomocnego orzeczenia sądu stwierdzającego popełnienie umyślnego przestępstwa przeciwko życiu lub zdrowiu.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4. Organem odwoławczym od decyzji, o których mowa w ust. 2 oraz w § 5 ust. 6, jest minister właściwy do spraw kultury fizycznej i sportu.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8" w:name="frg_3992303"/>
      <w:bookmarkEnd w:id="8"/>
      <w:r>
        <w:rPr>
          <w:rFonts w:ascii="Tahoma" w:hAnsi="Tahoma" w:cs="Tahoma"/>
          <w:color w:val="5A5A5A"/>
          <w:sz w:val="18"/>
          <w:szCs w:val="18"/>
        </w:rPr>
        <w:t>§ 9. 1. Przy uprawianiu sportów i sztuk walki niedopuszczalne jest ciążenie do powodowania urazów ciała u przeciwnika.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Zajęcia i treningi w sportach i sztukach walki prowadzą wyłącznie osoby posiadające uprawnienia trenera lub instruktora w określonej dyscyplinie sportów i sztuk walki.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9" w:name="frg_3992304"/>
      <w:bookmarkEnd w:id="9"/>
      <w:r>
        <w:rPr>
          <w:rFonts w:ascii="Tahoma" w:hAnsi="Tahoma" w:cs="Tahoma"/>
          <w:color w:val="5A5A5A"/>
          <w:sz w:val="18"/>
          <w:szCs w:val="18"/>
        </w:rPr>
        <w:t>§ 10. 1. Liczba osób w grupach ćwiczących na jednego prowadzącego zajęcia nie może przekraczać: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1) 30 osób w grupie osób początkujących, za które uznaje się osoby posiadające 1. lub 2. stopień uczniowski albo osoby ćwiczące nie dłużej niż jeden rok;</w:t>
      </w:r>
    </w:p>
    <w:p w:rsidR="00B42802" w:rsidRDefault="00B42802" w:rsidP="00B42802">
      <w:pPr>
        <w:pStyle w:val="p1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2) 25 osób w grupie osób zaawansowanych.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W czasie walk sparingowych - sędziowanych jeden prowadzący nie może kontrolować jednocześnie więcej niż dwóch par ćwiczących.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0" w:name="frg_3992305"/>
      <w:bookmarkEnd w:id="10"/>
      <w:r>
        <w:rPr>
          <w:rFonts w:ascii="Tahoma" w:hAnsi="Tahoma" w:cs="Tahoma"/>
          <w:color w:val="5A5A5A"/>
          <w:sz w:val="18"/>
          <w:szCs w:val="18"/>
        </w:rPr>
        <w:t>§ 11. 1. W zajęciach, treningach i zawodach w sportach lub sztukach walki mogą uczestniczyć osoby wyposażone w sprzęt ochronny, zgodnie z wymaganiami obowiązującymi w danej dyscyplinie sportu lub sztuce walki.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Osoby, o których mowa w ust. 1, nie mogą posiadać jakichkolwiek przedmiotów mogących spowodować uraz ciała.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1" w:name="frg_3992306"/>
      <w:bookmarkEnd w:id="11"/>
      <w:r>
        <w:rPr>
          <w:rFonts w:ascii="Tahoma" w:hAnsi="Tahoma" w:cs="Tahoma"/>
          <w:color w:val="5A5A5A"/>
          <w:sz w:val="18"/>
          <w:szCs w:val="18"/>
        </w:rPr>
        <w:t>§ 12. Pomieszczenia, w których są prowadzone zajęcia, treningi i zawody w sportach i sztukach walki, powinny być wyposażone w oświetlenie i wentylację, a przedmioty mogące spowodować uraz ciała - osłonięte.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2" w:name="frg_3992307"/>
      <w:bookmarkEnd w:id="12"/>
      <w:r>
        <w:rPr>
          <w:rFonts w:ascii="Tahoma" w:hAnsi="Tahoma" w:cs="Tahoma"/>
          <w:color w:val="5A5A5A"/>
          <w:sz w:val="18"/>
          <w:szCs w:val="18"/>
        </w:rPr>
        <w:t>§ 13. 1. Za bezpieczeństwo osób podczas przeprowadzania zajęć i treningów jest odpowiedzialny trener lub instruktor prowadzący te zajęcia lub treningi.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r>
        <w:rPr>
          <w:rFonts w:ascii="Tahoma" w:hAnsi="Tahoma" w:cs="Tahoma"/>
          <w:color w:val="5A5A5A"/>
          <w:sz w:val="18"/>
          <w:szCs w:val="18"/>
        </w:rPr>
        <w:t>2. Za bezpieczeństwo podczas zawodów w sportach lub sztukach walki jest odpowiedzialny sędzia główny zawodów.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3" w:name="frg_3992308"/>
      <w:bookmarkEnd w:id="13"/>
      <w:r>
        <w:rPr>
          <w:rFonts w:ascii="Tahoma" w:hAnsi="Tahoma" w:cs="Tahoma"/>
          <w:color w:val="5A5A5A"/>
          <w:sz w:val="18"/>
          <w:szCs w:val="18"/>
        </w:rPr>
        <w:t>§ 14. Osobom posiadającym stopnie uczniowskie lub mistrzowskie, do czwartego stopnia włącznie, nadane przed wejściem w życie rozporządzenia, mogą być wydane odpowiednie dyplomy bez egzaminu sprawdzającego, o którym mowa w § 5.</w:t>
      </w:r>
    </w:p>
    <w:p w:rsidR="00B42802" w:rsidRDefault="00B42802" w:rsidP="00B42802">
      <w:pPr>
        <w:pStyle w:val="p0"/>
        <w:shd w:val="clear" w:color="auto" w:fill="FFFFFF"/>
        <w:spacing w:before="0" w:beforeAutospacing="0" w:after="0" w:afterAutospacing="0" w:line="252" w:lineRule="atLeast"/>
        <w:ind w:firstLine="454"/>
        <w:jc w:val="both"/>
        <w:rPr>
          <w:rFonts w:ascii="Tahoma" w:hAnsi="Tahoma" w:cs="Tahoma"/>
          <w:color w:val="5A5A5A"/>
          <w:sz w:val="18"/>
          <w:szCs w:val="18"/>
        </w:rPr>
      </w:pPr>
      <w:bookmarkStart w:id="14" w:name="frg_3992309"/>
      <w:bookmarkEnd w:id="14"/>
      <w:r>
        <w:rPr>
          <w:rFonts w:ascii="Tahoma" w:hAnsi="Tahoma" w:cs="Tahoma"/>
          <w:color w:val="5A5A5A"/>
          <w:sz w:val="18"/>
          <w:szCs w:val="18"/>
        </w:rPr>
        <w:t>§ 15. Rozporządzenie wchodzi w życie po upływie 14 dni od dnia ogłoszenia.</w:t>
      </w:r>
    </w:p>
    <w:p w:rsidR="00B42802" w:rsidRDefault="00B42802" w:rsidP="00B42802">
      <w:pPr>
        <w:pStyle w:val="pp"/>
        <w:shd w:val="clear" w:color="auto" w:fill="FFFFFF"/>
        <w:spacing w:before="0" w:beforeAutospacing="0" w:after="0" w:afterAutospacing="0" w:line="252" w:lineRule="atLeast"/>
        <w:jc w:val="right"/>
        <w:rPr>
          <w:rFonts w:ascii="Tahoma" w:hAnsi="Tahoma" w:cs="Tahoma"/>
          <w:color w:val="5A5A5A"/>
          <w:sz w:val="18"/>
          <w:szCs w:val="18"/>
        </w:rPr>
      </w:pPr>
      <w:r>
        <w:rPr>
          <w:rStyle w:val="podpis-prosty"/>
          <w:rFonts w:ascii="Tahoma" w:hAnsi="Tahoma" w:cs="Tahoma"/>
          <w:color w:val="5A5A5A"/>
          <w:sz w:val="18"/>
          <w:szCs w:val="18"/>
        </w:rPr>
        <w:t>Prezes Rady Ministrów:</w:t>
      </w:r>
      <w:r>
        <w:rPr>
          <w:rStyle w:val="apple-converted-space"/>
          <w:rFonts w:ascii="Tahoma" w:hAnsi="Tahoma" w:cs="Tahoma"/>
          <w:color w:val="5A5A5A"/>
          <w:sz w:val="18"/>
          <w:szCs w:val="18"/>
        </w:rPr>
        <w:t> </w:t>
      </w:r>
      <w:r>
        <w:rPr>
          <w:rStyle w:val="podpis-pochyly"/>
          <w:rFonts w:ascii="Tahoma" w:hAnsi="Tahoma" w:cs="Tahoma"/>
          <w:i/>
          <w:iCs/>
          <w:color w:val="5A5A5A"/>
          <w:sz w:val="18"/>
          <w:szCs w:val="18"/>
        </w:rPr>
        <w:t>L. Miller</w:t>
      </w:r>
    </w:p>
    <w:p w:rsidR="00C91C40" w:rsidRDefault="00C91C40">
      <w:bookmarkStart w:id="15" w:name="_GoBack"/>
      <w:bookmarkEnd w:id="15"/>
    </w:p>
    <w:sectPr w:rsidR="00C9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02"/>
    <w:rsid w:val="00B42802"/>
    <w:rsid w:val="00C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-prosty">
    <w:name w:val="podpis-prosty"/>
    <w:basedOn w:val="Domylnaczcionkaakapitu"/>
    <w:rsid w:val="00B42802"/>
  </w:style>
  <w:style w:type="character" w:customStyle="1" w:styleId="apple-converted-space">
    <w:name w:val="apple-converted-space"/>
    <w:basedOn w:val="Domylnaczcionkaakapitu"/>
    <w:rsid w:val="00B42802"/>
  </w:style>
  <w:style w:type="character" w:customStyle="1" w:styleId="podpis-pochyly">
    <w:name w:val="podpis-pochyly"/>
    <w:basedOn w:val="Domylnaczcionkaakapitu"/>
    <w:rsid w:val="00B42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B4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-prosty">
    <w:name w:val="podpis-prosty"/>
    <w:basedOn w:val="Domylnaczcionkaakapitu"/>
    <w:rsid w:val="00B42802"/>
  </w:style>
  <w:style w:type="character" w:customStyle="1" w:styleId="apple-converted-space">
    <w:name w:val="apple-converted-space"/>
    <w:basedOn w:val="Domylnaczcionkaakapitu"/>
    <w:rsid w:val="00B42802"/>
  </w:style>
  <w:style w:type="character" w:customStyle="1" w:styleId="podpis-pochyly">
    <w:name w:val="podpis-pochyly"/>
    <w:basedOn w:val="Domylnaczcionkaakapitu"/>
    <w:rsid w:val="00B4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ai7</dc:creator>
  <cp:lastModifiedBy>ai7</cp:lastModifiedBy>
  <cp:revision>1</cp:revision>
  <dcterms:created xsi:type="dcterms:W3CDTF">2012-08-10T04:50:00Z</dcterms:created>
  <dcterms:modified xsi:type="dcterms:W3CDTF">2012-08-10T04:51:00Z</dcterms:modified>
</cp:coreProperties>
</file>